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6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pStyle w:val="2"/>
              <w:spacing w:after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7321" w:type="dxa"/>
          </w:tcPr>
          <w:p>
            <w:pPr>
              <w:pStyle w:val="2"/>
              <w:spacing w:after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2"/>
                <w:vertAlign w:val="baseline"/>
                <w:lang w:val="en-US" w:eastAsia="zh-CN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  <w:t>公共营养师四级</w:t>
            </w:r>
          </w:p>
        </w:tc>
        <w:tc>
          <w:tcPr>
            <w:tcW w:w="732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.累计从事本职业或相关职业工作满</w:t>
            </w: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年。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.取得本职业或相关职业五级/初级工职业资格(职业技能等级)证书后，累计从事本职业或相关职业工作满</w:t>
            </w: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年。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lang w:val="en-US" w:eastAsia="zh-CN"/>
              </w:rPr>
              <w:t>.取得本专业或相关专业的技工院校或中等及以上职业院校、专科及以上普通高等学校毕业证书(含在读应届毕业生)。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  <w:t>公共营养师三级</w:t>
            </w:r>
          </w:p>
        </w:tc>
        <w:tc>
          <w:tcPr>
            <w:tcW w:w="7321" w:type="dxa"/>
          </w:tcPr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.累计从事本职业或相关职业工作满</w:t>
            </w: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年。</w:t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.取得本职业或相关职业四级/中级工职业资格(职业技能等级)证书后，累计从事本职业或相关职业工作满</w:t>
            </w: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年。</w:t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.取得符合专业对应关系的初级职称(专业技术人员职业资格)后，累计从事本职业或相关职业工作满</w:t>
            </w: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年。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ab/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.取得本专业或相关专业的技工院校高级工班及以上毕业证书(含在读应届毕业生）。</w:t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.取得本职业或相关职业四级/中级工职业资格(职业技能等级)证书，并取得高等职业学校、专科及以上普通高等学校本专业或相关专业毕业证书(含在读应届毕业生)。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ab/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.取得经评估论证的高等职业学校、专科及以上普通高等学校本专业或相关专业的毕业证书(含在读应届毕业生)。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  <w:vAlign w:val="center"/>
          </w:tcPr>
          <w:p>
            <w:pPr>
              <w:pStyle w:val="2"/>
              <w:spacing w:after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  <w:t>健康管理师三级</w:t>
            </w:r>
          </w:p>
        </w:tc>
        <w:tc>
          <w:tcPr>
            <w:tcW w:w="7321" w:type="dxa"/>
          </w:tcPr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.累计从事本职业或相关职业工作满</w:t>
            </w: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年。</w:t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.取得本职业或相关职业四级/中级工职业资格(职业技能等级)证书后，累计从事本职业或相关职业工作满</w:t>
            </w: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年。</w:t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.取得符合专业对应关系的初级职称(专业技术人员职业资格)后，累计从事本职业或相关职业工作满</w:t>
            </w: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年。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ab/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.取得本专业或相关专业的技工院校高级工班及以上毕业证书(含在读应届毕业生）。</w:t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.取得本职业或相关职业四级/中级工职业资格(职业技能等级)证书，并取得高等职业学校、专科及以上普通高等学校本专业或相关专业毕业证书(含在读应届毕业生)。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ab/>
            </w:r>
          </w:p>
          <w:p>
            <w:pPr>
              <w:pStyle w:val="2"/>
              <w:spacing w:after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2"/>
                <w:vertAlign w:val="baseline"/>
                <w:lang w:val="en-US" w:eastAsia="zh-CN"/>
              </w:rPr>
              <w:t>.取得经评估论证的高等职业学校、专科及以上普通高等学校本专业或相关专业的毕业证书(含在读应届毕业生)。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7F143A6-64CC-4D57-99BE-ABFA14FE6ED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507084-427C-49A7-9084-AAAA178CB3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000000"/>
    <w:rsid w:val="51A3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2024-07-03T09:31:37Z</dcterms:created>
  <dc:creator>admin</dc:creator>
  <cp:lastModifiedBy>巴扎嘿</cp:lastModifiedBy>
  <dcterms:modified xsi:type="dcterms:W3CDTF">2024-07-03T09:31:55Z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8F59FA154D1C445F9199DA9F005CACCC_12</vt:lpwstr>
  </property>
</Properties>
</file>