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ind w:firstLine="624"/>
        <w:jc w:val="center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  <w:lang w:eastAsia="zh-CN"/>
        </w:rPr>
        <w:t>湖北省职业技能等级认定报名</w:t>
      </w:r>
      <w:r>
        <w:rPr>
          <w:rFonts w:hint="eastAsia" w:ascii="仿宋_GB2312" w:hAnsi="宋体" w:eastAsia="仿宋_GB2312"/>
          <w:b/>
          <w:bCs/>
          <w:sz w:val="36"/>
          <w:szCs w:val="36"/>
        </w:rPr>
        <w:t>登记表</w:t>
      </w:r>
    </w:p>
    <w:tbl>
      <w:tblPr>
        <w:tblStyle w:val="4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844"/>
        <w:gridCol w:w="1721"/>
        <w:gridCol w:w="1575"/>
        <w:gridCol w:w="666"/>
        <w:gridCol w:w="1450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姓  名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身份证号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联系电话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性别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出生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日期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文化程度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报考级别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工种名称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申报条件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6458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.累计从事本职业或相关职业工作满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年。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.取得本职业或相关职业四级/中级工职业资格(职业技能等级)证书后，累计从事本职业或相关职业工作满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年。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.取得符合专业对应关系的初级职称(专业技术人员职业资格)后，累计从事本职业或相关职业工作满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年。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ab/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.取得本专业或相关专业的技工院校高级工班及以上毕业证书(含在读应届毕业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.取得本职业或相关职业四级/中级工职业资格(职业技能等级)证书，并取得高等职业学校、专科及以上普通高等学校本专业或相关专业毕业证书(含在读应届毕业生)。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ab/>
            </w:r>
          </w:p>
          <w:p>
            <w:pPr>
              <w:spacing w:line="300" w:lineRule="exact"/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.取得经评估论证的高等职业学校、专科及以上普通高等学校本专业或相关专业的毕业证书(含在读应届毕业生)。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原证书职业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原证书等级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原证书编号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22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简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要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经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起止年月</w:t>
            </w: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工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作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 xml:space="preserve">    单    位</w:t>
            </w: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25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学历证书编号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通信地址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eastAsia="zh-CN"/>
              </w:rPr>
              <w:t>邮政编码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2QzY2EyNzIxNzAyNjMzMzg0ZmRjOTFhNzEwZjUifQ=="/>
  </w:docVars>
  <w:rsids>
    <w:rsidRoot w:val="00000000"/>
    <w:rsid w:val="757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2024-07-03T09:30:27Z</dcterms:created>
  <dc:creator>admin</dc:creator>
  <cp:lastModifiedBy>巴扎嘿</cp:lastModifiedBy>
  <dcterms:modified xsi:type="dcterms:W3CDTF">2024-07-03T09:30:31Z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53CA44FC068A484796656C4A83AFEE9B_12</vt:lpwstr>
  </property>
</Properties>
</file>